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Humboldt-Institut Bad Schussenried — language school in Germany</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Humboldt-Institut Bad Schussenried, Zellerseeweg 11, Bad Schussenried, Deutschland, </w:t>
      </w:r>
      <w:r w:rsidR="00A32336">
        <w:rPr>
          <w:lang w:val="en-US"/>
        </w:rPr>
        <w:t>from</w:t>
      </w:r>
      <w:r w:rsidRPr="00A32336">
        <w:rPr>
          <w:lang w:val="en-US"/>
        </w:rPr>
        <w:t xml:space="preserve"> 10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23</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Humboldt-Institut German Language Center invites schoolchildren to enjoy the picturesque nature of Germany, explore the sights of the country and gain the experience of studying abroad. The school occupies a park area in Bad Schussenried. It is a resort town in the mountains between the Danube and the crystal-clear Lake Constance. In general, the school represents a large complex of educational building, residential building and leisure infrastructure. From here you can reach the city center in 5 minutes.</w:t>
            </w:r>
          </w:p>
          <w:p>
            <w:r>
              <w:t xml:space="preserve">In his free time - sports, creative workshops and excursions. The lounge area is equipped for relaxation: comfortable sofas and armchairs, tables for ping-pong and table football. You can go for a walk in the school park. There is a swimming pool with a sauna, tennis courts, a gym and a football field on the territory. On Wednesday, children will go on an excursion to Ravensburg, Neuschwanstein Castle or look at the Alps. At the weekend there is an excursion to Munich, Mainau, Ulm or Sigmaringen. In the evening - games, barbecues, creative workshops or sporting events.</w:t>
            </w:r>
          </w:p>
          <w:p>
            <w:r>
              <w:t xml:space="preserve">Children are placed on campus near the school. The double rooms have a private bathroom, a balcony, a wardrobe and a desk. Breakfast, lunch and dinner are served in the dining room. Laundry available daily.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Everything on one campus</w:t>
            </w:r>
          </w:p>
          <w:p>
            <w:pPr>
              <w:pStyle w:val="ListParagraph"/>
              <w:numPr>
                <w:ilvl w:val="0"/>
                <w:numId w:val="1"/>
              </w:numPr>
              <w:rPr/>
            </w:pPr>
            <w:r>
              <w:rPr/>
              <w:t xml:space="preserve">Intensive German courses</w:t>
            </w:r>
          </w:p>
          <w:p>
            <w:pPr>
              <w:pStyle w:val="ListParagraph"/>
              <w:numPr>
                <w:ilvl w:val="0"/>
                <w:numId w:val="1"/>
              </w:numPr>
              <w:rPr/>
            </w:pPr>
            <w:r>
              <w:rPr/>
              <w:t xml:space="preserve">Small classes</w:t>
            </w:r>
          </w:p>
          <w:p>
            <w:pPr>
              <w:pStyle w:val="ListParagraph"/>
              <w:numPr>
                <w:ilvl w:val="0"/>
                <w:numId w:val="1"/>
              </w:numPr>
              <w:rPr/>
            </w:pPr>
            <w:r>
              <w:rPr/>
              <w:t xml:space="preserve">All-inclusive offer</w:t>
            </w:r>
          </w:p>
          <w:p>
            <w:pPr>
              <w:pStyle w:val="ListParagraph"/>
              <w:numPr>
                <w:ilvl w:val="0"/>
                <w:numId w:val="1"/>
              </w:numPr>
              <w:rPr/>
            </w:pPr>
            <w:r>
              <w:rPr/>
              <w:t xml:space="preserve">Countless leisure options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Comfortable rooms</w:t>
            </w:r>
          </w:p>
          <w:p>
            <w:pPr>
              <w:pStyle w:val="ListParagraph"/>
              <w:numPr>
                <w:ilvl w:val="0"/>
                <w:numId w:val="2"/>
              </w:numPr>
              <w:rPr/>
            </w:pPr>
            <w:r>
              <w:rPr/>
              <w:t xml:space="preserve">Modern facilities and lots of nature</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Gym</w:t>
            </w:r>
          </w:p>
          <w:p>
            <w:pPr>
              <w:pStyle w:val="ListParagraph"/>
              <w:numPr>
                <w:ilvl w:val="0"/>
                <w:numId w:val="3"/>
              </w:numPr>
              <w:rPr/>
            </w:pPr>
            <w:r>
              <w:rPr/>
              <w:t xml:space="preserve">Indoor pool</w:t>
            </w:r>
          </w:p>
          <w:p>
            <w:pPr>
              <w:pStyle w:val="ListParagraph"/>
              <w:numPr>
                <w:ilvl w:val="0"/>
                <w:numId w:val="3"/>
              </w:numPr>
              <w:rPr/>
            </w:pPr>
            <w:r>
              <w:rPr/>
              <w:t xml:space="preserve">Football field</w:t>
            </w:r>
          </w:p>
          <w:p>
            <w:pPr>
              <w:pStyle w:val="ListParagraph"/>
              <w:numPr>
                <w:ilvl w:val="0"/>
                <w:numId w:val="3"/>
              </w:numPr>
              <w:rPr/>
            </w:pPr>
            <w:r>
              <w:rPr/>
              <w:t xml:space="preserve">Indoor tennis court</w:t>
            </w:r>
          </w:p>
          <w:p>
            <w:pPr>
              <w:pStyle w:val="ListParagraph"/>
              <w:numPr>
                <w:ilvl w:val="0"/>
                <w:numId w:val="3"/>
              </w:numPr>
              <w:rPr/>
            </w:pPr>
            <w:r>
              <w:rPr/>
              <w:t xml:space="preserve">Indoor climbing wall</w:t>
            </w:r>
          </w:p>
          <w:p>
            <w:pPr>
              <w:pStyle w:val="ListParagraph"/>
              <w:numPr>
                <w:ilvl w:val="0"/>
                <w:numId w:val="3"/>
              </w:numPr>
              <w:rPr/>
            </w:pPr>
            <w:r>
              <w:rPr/>
              <w:t xml:space="preserve">Table tennis</w:t>
            </w:r>
          </w:p>
          <w:p>
            <w:pPr>
              <w:pStyle w:val="ListParagraph"/>
              <w:numPr>
                <w:ilvl w:val="0"/>
                <w:numId w:val="3"/>
              </w:numPr>
              <w:rPr/>
            </w:pPr>
            <w:r>
              <w:rPr/>
              <w:t xml:space="preserve">Table football</w:t>
            </w:r>
          </w:p>
          <w:p>
            <w:pPr>
              <w:pStyle w:val="ListParagraph"/>
              <w:numPr>
                <w:ilvl w:val="0"/>
                <w:numId w:val="3"/>
              </w:numPr>
              <w:rPr/>
            </w:pPr>
            <w:r>
              <w:rPr/>
              <w:t xml:space="preserve">Bike tours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Arts and crafts</w:t>
            </w:r>
          </w:p>
          <w:p>
            <w:pPr>
              <w:pStyle w:val="ListParagraph"/>
              <w:numPr>
                <w:ilvl w:val="0"/>
                <w:numId w:val="4"/>
              </w:numPr>
              <w:rPr/>
            </w:pPr>
            <w:r>
              <w:rPr/>
              <w:t xml:space="preserve">Barbecue</w:t>
            </w:r>
          </w:p>
          <w:p>
            <w:pPr>
              <w:pStyle w:val="ListParagraph"/>
              <w:numPr>
                <w:ilvl w:val="0"/>
                <w:numId w:val="4"/>
              </w:numPr>
              <w:rPr/>
            </w:pPr>
            <w:r>
              <w:rPr/>
              <w:t xml:space="preserve">Disco</w:t>
            </w:r>
          </w:p>
          <w:p>
            <w:pPr>
              <w:pStyle w:val="ListParagraph"/>
              <w:numPr>
                <w:ilvl w:val="0"/>
                <w:numId w:val="4"/>
              </w:numPr>
              <w:rPr/>
            </w:pPr>
            <w:r>
              <w:rPr/>
              <w:t xml:space="preserve">Piano</w:t>
            </w:r>
          </w:p>
          <w:p>
            <w:pPr>
              <w:pStyle w:val="ListParagraph"/>
              <w:numPr>
                <w:ilvl w:val="0"/>
                <w:numId w:val="4"/>
              </w:numPr>
              <w:rPr/>
            </w:pPr>
            <w:r>
              <w:rPr/>
              <w:t xml:space="preserve">Sauna</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German Course</w:t>
            </w:r>
          </w:p>
          <w:p>
            <w:r>
              <w:t xml:space="preserve">• tuition with 25 or 30 lessons per week</w:t>
            </w:r>
          </w:p>
          <w:p>
            <w:r>
              <w:t xml:space="preserve">• small classes with approx. 15 students</w:t>
            </w:r>
          </w:p>
          <w:p>
            <w:r>
              <w:t xml:space="preserve">• course material &amp; course certificate</w:t>
            </w:r>
          </w:p>
          <w:p>
            <w:r>
              <w:t xml:space="preserve">• accommodation &amp; full board</w:t>
            </w:r>
          </w:p>
          <w:p>
            <w:r>
              <w:t xml:space="preserve">• daily leisure program</w:t>
            </w:r>
          </w:p>
          <w:p>
            <w:r>
              <w:t xml:space="preserve">• half-day excursion on Wednesdays</w:t>
            </w:r>
          </w:p>
          <w:p>
            <w:r>
              <w:t xml:space="preserve">• full-day excursion on Saturdays</w:t>
            </w:r>
          </w:p>
          <w:p>
            <w:r>
              <w:t xml:space="preserve">• entrance fees</w:t>
            </w:r>
          </w:p>
          <w:p>
            <w:r>
              <w:t xml:space="preserve"/>
            </w:r>
          </w:p>
          <w:p>
            <w:r>
              <w:t xml:space="preserve">Special Services for All Groups</w:t>
            </w:r>
          </w:p>
          <w:p>
            <w:r>
              <w:t xml:space="preserve">• transfer service upon arrival and departure (airport or railway station)</w:t>
            </w:r>
          </w:p>
          <w:p>
            <w:r>
              <w:t xml:space="preserve">• complimentary place for an accompanying adult for groups of</w:t>
            </w:r>
          </w:p>
          <w:p>
            <w:r>
              <w:t xml:space="preserve">10 students or more</w:t>
            </w:r>
          </w:p>
          <w:p>
            <w:r>
              <w:t xml:space="preserve">• additional complimentary place for an accompanying adult for every further 15 students</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Мюнхен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Transfer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Leisure program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Mountain biking or icebreaker games for new students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Basketball or stencil paint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walk or board games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Badminton or handicrafts: soap stones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Ravensburg: Visiting the Humpis Quartier &amp; City rally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Playing board 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walk or soccer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Tennis or Quiz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Humboldt Olympics or painting on t-shirts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School disco with 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Fullday excursion to Munich: Visiting Allianz Arena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Fullday excursion to Munich: Visiting Allianz Arena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Barbecue &amp; campfire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