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Ardmore University of Bath — summer school in the UK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Claverton Down, Bath, UK,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9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Discover part of England’s rich history in Bath, a UNESCO World Heritage City, while staying at University of Bath, one of the top universities in the United Kingdom.</w:t>
            </w:r>
          </w:p>
          <w:p>
            <w:r>
              <w:t xml:space="preserve">This centre offers outstanding facilities such as a sports hall, all weather sports pitches, beach volleyball court as well as a 350 seat cinema, mini-market and cafés. The ancient Roman City of Bath is a wonderful and idyllic location for an English language course. It has a wide variety of historic and cultural sites such as the Roman Baths, theatres, Bath Abbey, Royal Crescent and museums all set alongside a modern new shopping area with cafés and restaurants overlooking the River Avon. It offers students of all ages the perfect balance between culture and history with modern shops and attractions.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Modern classrooms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Good sport facilities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UNESCO World Heritage city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Modern campus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Modern 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Dining Hall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World Class Facilities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Shops and cafes on site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24-hour security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Beach Volleyball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Dance Studio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3G Pitch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Grass Fields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Modern Sports Hall </w:t>
            </w:r>
          </w:p>
          <w:p>
            <w:r>
              <w:t xml:space="preserve"/>
            </w:r>
          </w:p>
          <w:p>
            <w:r>
              <w:t xml:space="preserve"/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Dance and Drama Academy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Horse Riding Academy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Quiz Nights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Film Nights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Board Accommodation 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15 hours of Lessons 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Excursions 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Activities 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Return Transfer ( LHR): 585 GBP TOTAL ( max 14 pax)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Лондон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Icebreaker games 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Lessons- placement exam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Blind Date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Casino Night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HD excursion to Bristol Walking Tour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Talent Show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Disco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FD Excursion to London, Thames River Cruise, and Westminster Walking Tour ( Late return meal vouchers provided)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FD Excursion to London, Thames River Cruise, and Westminster Walking Tour ( Late return meal vouchers provided)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Tournament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on Campus / Optional Extra Excursions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on Campus / Optional Extra Excursions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Sports and Leisure Activities on Campus / Optional Extra Excursions 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