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Хранители Знаний — городской лагерь без проживания в Ярославле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Волжская набережная, 19/13, Ярославль, Россия,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6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16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Школа «Гарантия Знаний» приглашает мальчиков и девочек 6-16 лет в дневной городской научный лагерь, где каждый сможет найти себе увлечение по душе. Ребят ждут новые знакомства, насыщенная программа и полезные навыки! </w:t>
            </w:r>
          </w:p>
          <w:p>
            <w:r>
              <w:t xml:space="preserve">День начинается с зарядки в 9.00 утра на Волжской набережной. Чуткие доброжелательные вожатые разделят ребят по отрядам до 13 человек. Школьники разомнутся, проведут пару игр и отправятся в закрытый кампус на занятия до 17.30. Увлекательные мастер-классы погружают детей в мир научных изобретений и роботехники, химии, предпринимательства, биоинженерии, математики,</w:t>
            </w:r>
            <w:r>
              <w:rPr>
                <w:b/>
              </w:rPr>
              <w:t xml:space="preserve"> </w:t>
            </w:r>
            <w:r>
              <w:rPr/>
              <w:t xml:space="preserve">программирования, краеведения. В финале ребята представят родителям свой готовый проект в любом из предложенных направлений. Выездные мероприятия включают квесты, кино, сухой бассейн, прогулку на теплоходе, боулинг. И всё - в пешей доступности от лагеря. В течение каждого дня в социальных сетях публикуют фото- и видеоотчеты. </w:t>
            </w:r>
          </w:p>
          <w:p>
            <w:r>
              <w:t xml:space="preserve">Питание двухразовое. В 12.00 в уютном кафе на набережной приготовят горячий обед. В 16.00 - витаминный полдник на базе кампуса.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Высококвалифицированные вожатые и педагоги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30+ инновационных курсов для всех интересов и будущих профессий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Обучение с использованием стандартов Apple, Google, Adobe, Autodesk и других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Индивидуальный подход к каждому ребенку нашего лагеря и мини-отряды до 13 человек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Внеклассные мероприятия, включая игровые турниры, спортивные состязания, настольные игры и экскурсии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Интересные занятия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Незабываемые эмоции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Презентация проектов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Набережная реки Волга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Парк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Охраняемая паркова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/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Программирование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Робототехника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Химия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Краеведение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Проектная деятельность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Инновационные курсы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Развлекательные мероприятия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Питание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Услуги Travel Class по организации поездки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Ярославль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на Волжской набережной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